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600" w:firstLine="1200"/>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CONFIDENTIALITY AGREEMENT</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Confidentiality Agreement (this “</w:t>
      </w:r>
      <w:r w:rsidDel="00000000" w:rsidR="00000000" w:rsidRPr="00000000">
        <w:rPr>
          <w:rFonts w:ascii="Times New Roman" w:cs="Times New Roman" w:eastAsia="Times New Roman" w:hAnsi="Times New Roman"/>
          <w:b w:val="1"/>
          <w:sz w:val="24"/>
          <w:szCs w:val="24"/>
          <w:rtl w:val="0"/>
        </w:rPr>
        <w:t xml:space="preserve">Agreement</w:t>
      </w:r>
      <w:r w:rsidDel="00000000" w:rsidR="00000000" w:rsidRPr="00000000">
        <w:rPr>
          <w:rFonts w:ascii="Times New Roman" w:cs="Times New Roman" w:eastAsia="Times New Roman" w:hAnsi="Times New Roman"/>
          <w:sz w:val="24"/>
          <w:szCs w:val="24"/>
          <w:rtl w:val="0"/>
        </w:rPr>
        <w:t xml:space="preserve">”) is made as of _____________ by and between Connex Brothers Consulting Group, a company duly organized and existing under the laws of California, United States with its principal place of business at </w:t>
      </w:r>
      <w:r w:rsidDel="00000000" w:rsidR="00000000" w:rsidRPr="00000000">
        <w:rPr>
          <w:rFonts w:ascii="Times New Roman" w:cs="Times New Roman" w:eastAsia="Times New Roman" w:hAnsi="Times New Roman"/>
          <w:sz w:val="24"/>
          <w:szCs w:val="24"/>
          <w:highlight w:val="white"/>
          <w:rtl w:val="0"/>
        </w:rPr>
        <w:t xml:space="preserve">2030 Main Street Suite 1300, Irvine, CA, 92614 USA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CBCG</w:t>
      </w:r>
      <w:r w:rsidDel="00000000" w:rsidR="00000000" w:rsidRPr="00000000">
        <w:rPr>
          <w:rFonts w:ascii="Times New Roman" w:cs="Times New Roman" w:eastAsia="Times New Roman" w:hAnsi="Times New Roman"/>
          <w:sz w:val="24"/>
          <w:szCs w:val="24"/>
          <w:rtl w:val="0"/>
        </w:rPr>
        <w:t xml:space="preserve">”) and ________________________________, a company duly organized and existing under the laws of ______________________ with its principal place of </w:t>
      </w:r>
      <w:r w:rsidDel="00000000" w:rsidR="00000000" w:rsidRPr="00000000">
        <w:rPr>
          <w:rFonts w:ascii="Times New Roman" w:cs="Times New Roman" w:eastAsia="Times New Roman" w:hAnsi="Times New Roman"/>
          <w:color w:val="000000"/>
          <w:sz w:val="24"/>
          <w:szCs w:val="24"/>
          <w:rtl w:val="0"/>
        </w:rPr>
        <w:t xml:space="preserve">business at </w:t>
      </w:r>
      <w:r w:rsidDel="00000000" w:rsidR="00000000" w:rsidRPr="00000000">
        <w:rPr>
          <w:rFonts w:ascii="Times New Roman" w:cs="Times New Roman" w:eastAsia="Times New Roman" w:hAnsi="Times New Roman"/>
          <w:sz w:val="24"/>
          <w:szCs w:val="24"/>
          <w:highlight w:val="white"/>
          <w:rtl w:val="0"/>
        </w:rPr>
        <w:t xml:space="preserve">___________________________________________________</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w:t>
      </w:r>
      <w:r w:rsidDel="00000000" w:rsidR="00000000" w:rsidRPr="00000000">
        <w:rPr>
          <w:rFonts w:ascii="Times New Roman" w:cs="Times New Roman" w:eastAsia="Times New Roman" w:hAnsi="Times New Roman"/>
          <w:sz w:val="24"/>
          <w:szCs w:val="24"/>
          <w:rtl w:val="0"/>
        </w:rPr>
        <w:t xml:space="preserve">”). CBCG, and _______ are together referred to as the “</w:t>
      </w:r>
      <w:r w:rsidDel="00000000" w:rsidR="00000000" w:rsidRPr="00000000">
        <w:rPr>
          <w:rFonts w:ascii="Times New Roman" w:cs="Times New Roman" w:eastAsia="Times New Roman" w:hAnsi="Times New Roman"/>
          <w:b w:val="1"/>
          <w:sz w:val="24"/>
          <w:szCs w:val="24"/>
          <w:rtl w:val="0"/>
        </w:rPr>
        <w:t xml:space="preserve">Parties</w:t>
      </w:r>
      <w:r w:rsidDel="00000000" w:rsidR="00000000" w:rsidRPr="00000000">
        <w:rPr>
          <w:rFonts w:ascii="Times New Roman" w:cs="Times New Roman" w:eastAsia="Times New Roman" w:hAnsi="Times New Roman"/>
          <w:sz w:val="24"/>
          <w:szCs w:val="24"/>
          <w:rtl w:val="0"/>
        </w:rPr>
        <w:t xml:space="preserve">” and individually as a “</w:t>
      </w:r>
      <w:r w:rsidDel="00000000" w:rsidR="00000000" w:rsidRPr="00000000">
        <w:rPr>
          <w:rFonts w:ascii="Times New Roman" w:cs="Times New Roman" w:eastAsia="Times New Roman" w:hAnsi="Times New Roman"/>
          <w:b w:val="1"/>
          <w:sz w:val="24"/>
          <w:szCs w:val="24"/>
          <w:rtl w:val="0"/>
        </w:rPr>
        <w:t xml:space="preserve">Party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Parties have engaged in informal discussions in connection with the possibility of certain transactions (collectively, the “Transaction”) that may involve the sharing of Confidential Information (as defined below ) between the Parties and of the entering into of additional definitive documentation in relation thereto (the “</w:t>
      </w:r>
      <w:r w:rsidDel="00000000" w:rsidR="00000000" w:rsidRPr="00000000">
        <w:rPr>
          <w:rFonts w:ascii="Times New Roman" w:cs="Times New Roman" w:eastAsia="Times New Roman" w:hAnsi="Times New Roman"/>
          <w:b w:val="1"/>
          <w:sz w:val="24"/>
          <w:szCs w:val="24"/>
          <w:rtl w:val="0"/>
        </w:rPr>
        <w:t xml:space="preserve">Transaction Documentation</w:t>
      </w:r>
      <w:r w:rsidDel="00000000" w:rsidR="00000000" w:rsidRPr="00000000">
        <w:rPr>
          <w:rFonts w:ascii="Times New Roman" w:cs="Times New Roman" w:eastAsia="Times New Roman" w:hAnsi="Times New Roman"/>
          <w:sz w:val="24"/>
          <w:szCs w:val="24"/>
          <w:rtl w:val="0"/>
        </w:rPr>
        <w:t xml:space="preserve">”); and WHEREAS, the Parties wish to memorialize their definitive understanding with respect to the treatment of Confidential Information.</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mutual promises, covenants and obligations contained in this Agreement and for other good and valuable consideration, the receipt and sufficiency of which is hereby acknowledged by the Parties, the Parties hereby agree as follows.</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Article 1. Definitions</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b w:val="1"/>
          <w:sz w:val="24"/>
          <w:szCs w:val="24"/>
          <w:rtl w:val="0"/>
        </w:rPr>
        <w:t xml:space="preserve">Confidential Information</w:t>
      </w:r>
      <w:r w:rsidDel="00000000" w:rsidR="00000000" w:rsidRPr="00000000">
        <w:rPr>
          <w:rFonts w:ascii="Times New Roman" w:cs="Times New Roman" w:eastAsia="Times New Roman" w:hAnsi="Times New Roman"/>
          <w:sz w:val="24"/>
          <w:szCs w:val="24"/>
          <w:rtl w:val="0"/>
        </w:rPr>
        <w:t xml:space="preserve">” shall mean any and all non-public information and materials not already in the possession of the receiving Party that may be disclosed, directly or indirectly, by either Party to the other Party (whether in writing, or in oral, graphic, electronic or any other form), directly or through any of its Affiliates or any of its or its Affiliates’ Employees on or following the date of this Agreement regardless of whether such Confidential Information is disclosed via electronic files, in written or other tangible form and is identified as confidential or proprietary, or if it is disclosed verbally.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Times New Roman" w:cs="Times New Roman" w:eastAsia="Times New Roman" w:hAnsi="Times New Roman"/>
          <w:b w:val="1"/>
          <w:sz w:val="24"/>
          <w:szCs w:val="24"/>
          <w:rtl w:val="0"/>
        </w:rPr>
        <w:t xml:space="preserve">Employees</w:t>
      </w:r>
      <w:r w:rsidDel="00000000" w:rsidR="00000000" w:rsidRPr="00000000">
        <w:rPr>
          <w:rFonts w:ascii="Times New Roman" w:cs="Times New Roman" w:eastAsia="Times New Roman" w:hAnsi="Times New Roman"/>
          <w:sz w:val="24"/>
          <w:szCs w:val="24"/>
          <w:rtl w:val="0"/>
        </w:rPr>
        <w:t xml:space="preserve">” shall mean all officers, directors, employees, agents, consultants, advisors or representatives of either Party or their Affiliates, as the case may be.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r>
      <w:r w:rsidDel="00000000" w:rsidR="00000000" w:rsidRPr="00000000">
        <w:rPr>
          <w:rFonts w:ascii="Times New Roman" w:cs="Times New Roman" w:eastAsia="Times New Roman" w:hAnsi="Times New Roman"/>
          <w:b w:val="1"/>
          <w:sz w:val="24"/>
          <w:szCs w:val="24"/>
          <w:rtl w:val="0"/>
        </w:rPr>
        <w:t xml:space="preserve">Affiliate</w:t>
      </w:r>
      <w:r w:rsidDel="00000000" w:rsidR="00000000" w:rsidRPr="00000000">
        <w:rPr>
          <w:rFonts w:ascii="Times New Roman" w:cs="Times New Roman" w:eastAsia="Times New Roman" w:hAnsi="Times New Roman"/>
          <w:sz w:val="24"/>
          <w:szCs w:val="24"/>
          <w:rtl w:val="0"/>
        </w:rPr>
        <w:t xml:space="preserve">” means any company or legal entity that (i) controls either directly or indirectly a Party, (ii) is controlled directly or indirectly by such Party or (iii) is directly or indirectly controlled by a company or entity which directly or indirectly controls such Party, for which purpose “control” shall mean the right to exercise fifty percent (50%) or more of the voting rights in the appointment of the directors or similar representation of such company or entity.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Article 2. Confidentiality</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The parties hereto acknowledge that Confidential Information is valuable property of the disclosing Party. The recipient Party and its Affiliates shall keep Confidential Information of the disclosing Party in strictest confidence, limit disclosure of Confidential Information to a minimum number of Employees as may be reasonably necessary for the performance of its obligations and for entering into the Transaction Documents or achieving the purpose of the Transaction, and take all reasonable measures to ensure that Confidential Information will be kept in strictest confidence by its Employees and that any of its Employees will not, directly or indirectly, publish, disseminate, otherwise disclose or use any of Confidential Information without prior written consent of the disclosing Party.</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The recipient Party and its Affiliates shall use Confidential Information only in furtherance of the Transaction for the purpose for which it was originally disclosed by the disclosing Party, without prior written consent of the disclosing Party.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 obligation to maintain confidentiality and restrictions on its use and disclosure in </w:t>
      </w:r>
      <w:r w:rsidDel="00000000" w:rsidR="00000000" w:rsidRPr="00000000">
        <w:rPr>
          <w:rFonts w:ascii="Times New Roman" w:cs="Times New Roman" w:eastAsia="Times New Roman" w:hAnsi="Times New Roman"/>
          <w:sz w:val="24"/>
          <w:szCs w:val="24"/>
          <w:u w:val="single"/>
          <w:rtl w:val="0"/>
        </w:rPr>
        <w:t xml:space="preserve">Articles 2.1</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u w:val="single"/>
          <w:rtl w:val="0"/>
        </w:rPr>
        <w:t xml:space="preserve">2.2</w:t>
      </w:r>
      <w:r w:rsidDel="00000000" w:rsidR="00000000" w:rsidRPr="00000000">
        <w:rPr>
          <w:rFonts w:ascii="Times New Roman" w:cs="Times New Roman" w:eastAsia="Times New Roman" w:hAnsi="Times New Roman"/>
          <w:sz w:val="24"/>
          <w:szCs w:val="24"/>
          <w:rtl w:val="0"/>
        </w:rPr>
        <w:t xml:space="preserve"> above shall not apply to:</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Confidential Information which was already developed by the recipient Party or its Affiliates or was in the recipient Party’s possession before its receipt, directly or indirectly, from the disclosing Party (to the extent that this can be established by adequate proof);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Confidential Information which at the time of its disclosure is, or thereafter becomes through no failure of the recipient Party or its Affiliates, part of the public domain;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Confidential Information which has been rightfully furnished by a third party without restriction on disclosure or use;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Confidential Information which is approved by the disclosing Party for disclosure without restriction, in a written document that is signed by a duly authorized representative of that Party; or</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t xml:space="preserve">Confidential Information which is disclosed after the termination of the recipient Party’s obligation of confidentiality as specified herein.</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Unless subpoenaed by a court of law with competent jurisdiction or by the government, the recipient Party shall not make available, or divulge or acknowledge the existence of any Confidential Information to any such court or government. Where the recipient Party is subpoenaed by a court of law with competent jurisdiction or by the government, it shall immediately notify the other Party and provide the other Party first opportunity to respond to the court or the government. Where disclosure of any Confidential Information is ordered, the recipient Party shall disclose only the minimum that is required to be disclosed.</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The recipient Party shall immediately notify the other Party in writing upon discovery of any unauthorized use or disclosure of Confidential Information, or any other breach of this Agreement by the recipient Party.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Article 3. Ownership of Confidential Information</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All rights in and title to the Confidential Information provided by each Party shall remain with such Party. </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No transfer of rights shall occur as a result of this Agreement, but any such transfer shall be determined pursuant to respective Definitive Agreements as may be agreed and executed by the Parties hereafter.</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Article 4. Liabilities</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Party shall be liable to the other Party for any indirect, consequential, punitive or special damages for lost profits of any kind arising under or in connection with this Agreement. </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Article 5. Term and Termination</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This Agreement shall become effective as of the date first above written and terminate upon the second anniversary hereof unless extended by mutual agreement. Notwithstanding anything to the contrary herein, the confidentiality obligations stated herein as to Confidential Information and </w:t>
      </w:r>
      <w:r w:rsidDel="00000000" w:rsidR="00000000" w:rsidRPr="00000000">
        <w:rPr>
          <w:rFonts w:ascii="Times New Roman" w:cs="Times New Roman" w:eastAsia="Times New Roman" w:hAnsi="Times New Roman"/>
          <w:sz w:val="24"/>
          <w:szCs w:val="24"/>
          <w:u w:val="single"/>
          <w:rtl w:val="0"/>
        </w:rPr>
        <w:t xml:space="preserve">Article 6.6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Governing Law and Dispute Resolution</w:t>
      </w:r>
      <w:r w:rsidDel="00000000" w:rsidR="00000000" w:rsidRPr="00000000">
        <w:rPr>
          <w:rFonts w:ascii="Times New Roman" w:cs="Times New Roman" w:eastAsia="Times New Roman" w:hAnsi="Times New Roman"/>
          <w:sz w:val="24"/>
          <w:szCs w:val="24"/>
          <w:rtl w:val="0"/>
        </w:rPr>
        <w:t xml:space="preserve">) shall survive the termination of this Agreement for a period of two (2) years.</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Upon termination of this Agreement, the recipient Party shall return or destroy all Confidential Information provided by the disclosing Party, to the disclosing Party and purge all Confidential Information from the recipient Party’s electronic or magnetic media or storage devices within thirty (30) days from the termination of this Agreement.</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Article 6. Miscellaneous</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w:t>
      </w:r>
      <w:r w:rsidDel="00000000" w:rsidR="00000000" w:rsidRPr="00000000">
        <w:rPr>
          <w:rFonts w:ascii="Times New Roman" w:cs="Times New Roman" w:eastAsia="Times New Roman" w:hAnsi="Times New Roman"/>
          <w:sz w:val="24"/>
          <w:szCs w:val="24"/>
          <w:u w:val="single"/>
          <w:rtl w:val="0"/>
        </w:rPr>
        <w:t xml:space="preserve">Entire Agreement</w:t>
      </w:r>
      <w:r w:rsidDel="00000000" w:rsidR="00000000" w:rsidRPr="00000000">
        <w:rPr>
          <w:rFonts w:ascii="Times New Roman" w:cs="Times New Roman" w:eastAsia="Times New Roman" w:hAnsi="Times New Roman"/>
          <w:sz w:val="24"/>
          <w:szCs w:val="24"/>
          <w:rtl w:val="0"/>
        </w:rPr>
        <w:t xml:space="preserve">.  This Agreement shall constitute the entire understanding and agreement between the Parties in relation to the subject matter hereof and supersede any and all prior or contemporaneous, oral or written, representations, communications, understandings and agreements.</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w:t>
      </w:r>
      <w:r w:rsidDel="00000000" w:rsidR="00000000" w:rsidRPr="00000000">
        <w:rPr>
          <w:rFonts w:ascii="Times New Roman" w:cs="Times New Roman" w:eastAsia="Times New Roman" w:hAnsi="Times New Roman"/>
          <w:sz w:val="24"/>
          <w:szCs w:val="24"/>
          <w:u w:val="single"/>
          <w:rtl w:val="0"/>
        </w:rPr>
        <w:t xml:space="preserve">No Other Relations</w:t>
      </w:r>
      <w:r w:rsidDel="00000000" w:rsidR="00000000" w:rsidRPr="00000000">
        <w:rPr>
          <w:rFonts w:ascii="Times New Roman" w:cs="Times New Roman" w:eastAsia="Times New Roman" w:hAnsi="Times New Roman"/>
          <w:sz w:val="24"/>
          <w:szCs w:val="24"/>
          <w:rtl w:val="0"/>
        </w:rPr>
        <w:t xml:space="preserve">.  The terms and conditions of this Agreement shall not, unless explicitly stated to the contrary in this Agreement and only to the extent so explicitly stated, be construed so as to imply or constitute any relationship between the Parties.</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w:t>
      </w:r>
      <w:r w:rsidDel="00000000" w:rsidR="00000000" w:rsidRPr="00000000">
        <w:rPr>
          <w:rFonts w:ascii="Times New Roman" w:cs="Times New Roman" w:eastAsia="Times New Roman" w:hAnsi="Times New Roman"/>
          <w:sz w:val="24"/>
          <w:szCs w:val="24"/>
          <w:u w:val="single"/>
          <w:rtl w:val="0"/>
        </w:rPr>
        <w:t xml:space="preserve">Assignment</w:t>
      </w:r>
      <w:r w:rsidDel="00000000" w:rsidR="00000000" w:rsidRPr="00000000">
        <w:rPr>
          <w:rFonts w:ascii="Times New Roman" w:cs="Times New Roman" w:eastAsia="Times New Roman" w:hAnsi="Times New Roman"/>
          <w:sz w:val="24"/>
          <w:szCs w:val="24"/>
          <w:rtl w:val="0"/>
        </w:rPr>
        <w:t xml:space="preserve">.  Any and all of the rights and obligations under this Agreement cannot be assigned by either Party to any third party without the prior written consent of the other Party. This Agreement shall be binding on the Parties and any permitted assignees or their legal successors. </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w:t>
      </w:r>
      <w:r w:rsidDel="00000000" w:rsidR="00000000" w:rsidRPr="00000000">
        <w:rPr>
          <w:rFonts w:ascii="Times New Roman" w:cs="Times New Roman" w:eastAsia="Times New Roman" w:hAnsi="Times New Roman"/>
          <w:sz w:val="24"/>
          <w:szCs w:val="24"/>
          <w:u w:val="single"/>
          <w:rtl w:val="0"/>
        </w:rPr>
        <w:t xml:space="preserve">Severability</w:t>
      </w:r>
      <w:r w:rsidDel="00000000" w:rsidR="00000000" w:rsidRPr="00000000">
        <w:rPr>
          <w:rFonts w:ascii="Times New Roman" w:cs="Times New Roman" w:eastAsia="Times New Roman" w:hAnsi="Times New Roman"/>
          <w:sz w:val="24"/>
          <w:szCs w:val="24"/>
          <w:rtl w:val="0"/>
        </w:rPr>
        <w:t xml:space="preserve">.  If individual provisions of this Agreement prove ineffective, this shall not affect the remaining provisions of this Agreement.</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w:t>
      </w:r>
      <w:r w:rsidDel="00000000" w:rsidR="00000000" w:rsidRPr="00000000">
        <w:rPr>
          <w:rFonts w:ascii="Times New Roman" w:cs="Times New Roman" w:eastAsia="Times New Roman" w:hAnsi="Times New Roman"/>
          <w:sz w:val="24"/>
          <w:szCs w:val="24"/>
          <w:u w:val="single"/>
          <w:rtl w:val="0"/>
        </w:rPr>
        <w:t xml:space="preserve">No Implied Waiver</w:t>
      </w:r>
      <w:r w:rsidDel="00000000" w:rsidR="00000000" w:rsidRPr="00000000">
        <w:rPr>
          <w:rFonts w:ascii="Times New Roman" w:cs="Times New Roman" w:eastAsia="Times New Roman" w:hAnsi="Times New Roman"/>
          <w:sz w:val="24"/>
          <w:szCs w:val="24"/>
          <w:rtl w:val="0"/>
        </w:rPr>
        <w:t xml:space="preserve">.  The failure or delay of any Party to enforce at any time any of the provisions of this Agreement, or to require at any time performance of the other Party of any of the provisions hereof, shall neither be construed to be a waiver of such provisions nor affect the validity of this Agreement or any part hereof or the right of such Party thereafter to enforce each and every such provision. </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6.6 </w:t>
      </w:r>
      <w:r w:rsidDel="00000000" w:rsidR="00000000" w:rsidRPr="00000000">
        <w:rPr>
          <w:rFonts w:ascii="Times New Roman" w:cs="Times New Roman" w:eastAsia="Times New Roman" w:hAnsi="Times New Roman"/>
          <w:sz w:val="24"/>
          <w:szCs w:val="24"/>
          <w:u w:val="single"/>
          <w:rtl w:val="0"/>
        </w:rPr>
        <w:t xml:space="preserve">Governing Law and Dispute Resolution</w:t>
      </w:r>
      <w:r w:rsidDel="00000000" w:rsidR="00000000" w:rsidRPr="00000000">
        <w:rPr>
          <w:rFonts w:ascii="Times New Roman" w:cs="Times New Roman" w:eastAsia="Times New Roman" w:hAnsi="Times New Roman"/>
          <w:sz w:val="24"/>
          <w:szCs w:val="24"/>
          <w:rtl w:val="0"/>
        </w:rPr>
        <w:t xml:space="preserve">.  This Agreement shall be governed by and construed in accordance with the laws of England and Wales without giving effect to its rules of conflict of laws. All disputes, controversies or differences which may arise between the Parties, out of or in relation to or in connection with this Agreement, or for the breach thereof, shall be finally settled under the Rules of Arbitration of the International Chamber of Commerce by one or more arbitrators appointed in accordance with the said Rules. The arbitration proceeding shall be conducted in London, United Kingdom, in the English language. The award rendered by the arbitrator shall be final and binding upon both Parties concerned. This Article 6.6 shall survive the termination of this Agreement.</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page follows.]</w:t>
      </w:r>
    </w:p>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the Parties have caused their duly authorized representatives to execute this Agreement as of the date first written above.</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Connex Brothers Consulting Group LLC </w:t>
        <w:tab/>
        <w:t xml:space="preserve"> </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By :                              </w:t>
      </w: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Sukjoon Chung</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Co-Founder &amp; Chief Executive Officer                                            </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Company Name</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By :                              </w:t>
      </w:r>
      <w:r w:rsidDel="00000000" w:rsidR="00000000" w:rsidRPr="00000000">
        <w:rPr>
          <w:rFonts w:ascii="Times New Roman" w:cs="Times New Roman" w:eastAsia="Times New Roman" w:hAnsi="Times New Roman"/>
          <w:color w:val="ffffff"/>
          <w:sz w:val="24"/>
          <w:szCs w:val="24"/>
          <w:u w:val="single"/>
          <w:rtl w:val="0"/>
        </w:rPr>
        <w:t xml:space="preserve">o</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_____________           </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_________________________________</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sectPr>
      <w:footerReference r:id="rId7" w:type="default"/>
      <w:pgSz w:h="16838" w:w="11906" w:orient="portrait"/>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algun Gothic"/>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algun Gothic" w:cs="Malgun Gothic" w:eastAsia="Malgun Gothic" w:hAnsi="Malgun Gothic"/>
        <w:b w:val="0"/>
        <w:i w:val="0"/>
        <w:smallCaps w:val="0"/>
        <w:strike w:val="0"/>
        <w:color w:val="000000"/>
        <w:sz w:val="20"/>
        <w:szCs w:val="20"/>
        <w:u w:val="none"/>
        <w:shd w:fill="auto" w:val="clear"/>
        <w:vertAlign w:val="baseline"/>
      </w:rPr>
    </w:pPr>
    <w:r w:rsidDel="00000000" w:rsidR="00000000" w:rsidRPr="00000000">
      <w:rPr>
        <w:rFonts w:ascii="Malgun Gothic" w:cs="Malgun Gothic" w:eastAsia="Malgun Gothic" w:hAnsi="Malgun Gothic"/>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Malgun Gothic" w:cs="Malgun Gothic" w:eastAsia="Malgun Gothic" w:hAnsi="Malgun Gothic"/>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algun Gothic" w:cs="Malgun Gothic" w:eastAsia="Malgun Gothic" w:hAnsi="Malgun Gothic"/>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line="240" w:lineRule="auto"/>
      <w:jc w:val="left"/>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01F97"/>
    <w:pPr>
      <w:tabs>
        <w:tab w:val="center" w:pos="4513"/>
        <w:tab w:val="right" w:pos="9026"/>
      </w:tabs>
      <w:snapToGrid w:val="0"/>
    </w:pPr>
  </w:style>
  <w:style w:type="character" w:styleId="HeaderChar" w:customStyle="1">
    <w:name w:val="Header Char"/>
    <w:basedOn w:val="DefaultParagraphFont"/>
    <w:link w:val="Header"/>
    <w:uiPriority w:val="99"/>
    <w:rsid w:val="00401F97"/>
  </w:style>
  <w:style w:type="paragraph" w:styleId="Footer">
    <w:name w:val="footer"/>
    <w:basedOn w:val="Normal"/>
    <w:link w:val="FooterChar"/>
    <w:uiPriority w:val="99"/>
    <w:unhideWhenUsed w:val="1"/>
    <w:rsid w:val="00401F97"/>
    <w:pPr>
      <w:tabs>
        <w:tab w:val="center" w:pos="4513"/>
        <w:tab w:val="right" w:pos="9026"/>
      </w:tabs>
      <w:snapToGrid w:val="0"/>
    </w:pPr>
  </w:style>
  <w:style w:type="character" w:styleId="FooterChar" w:customStyle="1">
    <w:name w:val="Footer Char"/>
    <w:basedOn w:val="DefaultParagraphFont"/>
    <w:link w:val="Footer"/>
    <w:uiPriority w:val="99"/>
    <w:rsid w:val="00401F97"/>
  </w:style>
  <w:style w:type="paragraph" w:styleId="BalloonText">
    <w:name w:val="Balloon Text"/>
    <w:basedOn w:val="Normal"/>
    <w:link w:val="BalloonTextChar"/>
    <w:uiPriority w:val="99"/>
    <w:semiHidden w:val="1"/>
    <w:unhideWhenUsed w:val="1"/>
    <w:rsid w:val="00401F97"/>
    <w:rPr>
      <w:rFonts w:asciiTheme="majorHAnsi" w:cstheme="majorBidi" w:eastAsiaTheme="majorEastAsia" w:hAnsiTheme="majorHAnsi"/>
      <w:sz w:val="18"/>
      <w:szCs w:val="18"/>
    </w:rPr>
  </w:style>
  <w:style w:type="character" w:styleId="BalloonTextChar" w:customStyle="1">
    <w:name w:val="Balloon Text Char"/>
    <w:basedOn w:val="DefaultParagraphFont"/>
    <w:link w:val="BalloonText"/>
    <w:uiPriority w:val="99"/>
    <w:semiHidden w:val="1"/>
    <w:rsid w:val="00401F97"/>
    <w:rPr>
      <w:rFonts w:asciiTheme="majorHAnsi" w:cstheme="majorBidi" w:eastAsiaTheme="majorEastAsia" w:hAnsiTheme="majorHAns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Xm66/HKAQh1SavVZvC6vrufdQ==">CgMxLjA4AHIhMUVRd1NyOGVvdHJUWWtnUDA0OG50X2ZCbGFsUWlxeHFL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2024-02-03T00:09:00Z</dcterms:created>
  <dc:creator>이양은(CE0309)</dc:creator>
</cp:coreProperties>
</file>